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Notedefin"/>
        <w:jc w:val="center"/>
        <w:rPr>
          <w:b/>
          <w:bCs/>
          <w:color w:val="auto"/>
          <w:sz w:val="28"/>
          <w:szCs w:val="28"/>
        </w:rPr>
      </w:pPr>
      <w:r>
        <w:rPr>
          <w:b/>
          <w:bCs/>
          <w:noProof/>
        </w:rPr>
        <w:drawing>
          <wp:anchor distT="0" distB="0" distL="114300" distR="114300" simplePos="0" relativeHeight="251660288" behindDoc="1" locked="0" layoutInCell="1" allowOverlap="1">
            <wp:simplePos x="0" y="0"/>
            <wp:positionH relativeFrom="margin">
              <wp:align>left</wp:align>
            </wp:positionH>
            <wp:positionV relativeFrom="paragraph">
              <wp:posOffset>264</wp:posOffset>
            </wp:positionV>
            <wp:extent cx="1360805" cy="1229995"/>
            <wp:effectExtent l="0" t="0" r="0" b="8255"/>
            <wp:wrapTight wrapText="bothSides">
              <wp:wrapPolygon edited="0">
                <wp:start x="0" y="0"/>
                <wp:lineTo x="0" y="21410"/>
                <wp:lineTo x="21167" y="21410"/>
                <wp:lineTo x="21167"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a:stretch>
                      <a:fillRect/>
                    </a:stretch>
                  </pic:blipFill>
                  <pic:spPr>
                    <a:xfrm>
                      <a:off x="0" y="0"/>
                      <a:ext cx="1360805" cy="1229995"/>
                    </a:xfrm>
                    <a:prstGeom prst="rect">
                      <a:avLst/>
                    </a:prstGeom>
                  </pic:spPr>
                </pic:pic>
              </a:graphicData>
            </a:graphic>
            <wp14:sizeRelH relativeFrom="margin">
              <wp14:pctWidth>0</wp14:pctWidth>
            </wp14:sizeRelH>
            <wp14:sizeRelV relativeFrom="margin">
              <wp14:pctHeight>0</wp14:pctHeight>
            </wp14:sizeRelV>
          </wp:anchor>
        </w:drawing>
      </w:r>
    </w:p>
    <w:p>
      <w:pPr>
        <w:pStyle w:val="Corpsdetexte"/>
        <w:jc w:val="right"/>
        <w:rPr>
          <w:rFonts w:ascii="Marianne" w:hAnsi="Marianne" w:cs="Arial"/>
          <w:b/>
          <w:bCs/>
          <w:sz w:val="24"/>
        </w:rPr>
      </w:pPr>
      <w:r>
        <w:rPr>
          <w:rFonts w:ascii="Marianne" w:hAnsi="Marianne" w:cs="Arial"/>
          <w:b/>
          <w:bCs/>
          <w:sz w:val="24"/>
        </w:rPr>
        <w:t xml:space="preserve">Direction des achats </w:t>
      </w:r>
    </w:p>
    <w:p>
      <w:pPr>
        <w:pStyle w:val="Corpsdetexte"/>
        <w:jc w:val="right"/>
        <w:rPr>
          <w:rFonts w:ascii="Marianne" w:hAnsi="Marianne" w:cs="Arial"/>
          <w:b/>
          <w:bCs/>
          <w:sz w:val="24"/>
        </w:rPr>
      </w:pPr>
      <w:proofErr w:type="gramStart"/>
      <w:r>
        <w:rPr>
          <w:rFonts w:ascii="Marianne" w:hAnsi="Marianne" w:cs="Arial"/>
          <w:b/>
          <w:bCs/>
          <w:sz w:val="24"/>
        </w:rPr>
        <w:t>de</w:t>
      </w:r>
      <w:proofErr w:type="gramEnd"/>
      <w:r>
        <w:rPr>
          <w:rFonts w:ascii="Marianne" w:hAnsi="Marianne" w:cs="Arial"/>
          <w:b/>
          <w:bCs/>
          <w:sz w:val="24"/>
        </w:rPr>
        <w:t xml:space="preserve"> l’Etat</w:t>
      </w:r>
    </w:p>
    <w:p>
      <w:pPr>
        <w:pStyle w:val="Corpsdetexte"/>
        <w:jc w:val="center"/>
        <w:rPr>
          <w:rFonts w:ascii="Marianne" w:hAnsi="Marianne" w:cs="Arial"/>
          <w:b/>
          <w:bCs/>
          <w:sz w:val="24"/>
        </w:rPr>
      </w:pPr>
    </w:p>
    <w:p>
      <w:pPr>
        <w:pStyle w:val="Corpsdetexte"/>
        <w:jc w:val="center"/>
        <w:rPr>
          <w:rFonts w:ascii="Marianne" w:hAnsi="Marianne" w:cs="Arial"/>
          <w:b/>
          <w:bCs/>
          <w:sz w:val="24"/>
        </w:rPr>
      </w:pPr>
    </w:p>
    <w:p>
      <w:pPr>
        <w:pStyle w:val="Corpsdetexte"/>
        <w:jc w:val="center"/>
        <w:rPr>
          <w:rFonts w:ascii="Marianne" w:hAnsi="Marianne" w:cs="Arial"/>
          <w:b/>
          <w:bCs/>
          <w:sz w:val="24"/>
        </w:rPr>
      </w:pPr>
    </w:p>
    <w:p>
      <w:pPr>
        <w:pStyle w:val="Corpsdetexte"/>
        <w:jc w:val="center"/>
        <w:rPr>
          <w:rFonts w:ascii="Marianne" w:hAnsi="Marianne" w:cs="Arial"/>
          <w:b/>
          <w:bCs/>
          <w:sz w:val="24"/>
        </w:rPr>
      </w:pPr>
    </w:p>
    <w:p>
      <w:pPr>
        <w:pStyle w:val="Corpsdetexte"/>
        <w:jc w:val="center"/>
        <w:rPr>
          <w:rFonts w:ascii="Marianne" w:hAnsi="Marianne" w:cs="Arial"/>
          <w:b/>
          <w:bCs/>
          <w:sz w:val="24"/>
        </w:rPr>
      </w:pPr>
    </w:p>
    <w:p>
      <w:pPr>
        <w:pStyle w:val="Standard"/>
        <w:pBdr>
          <w:top w:val="single" w:sz="4" w:space="1" w:color="auto"/>
          <w:left w:val="single" w:sz="4" w:space="4" w:color="auto"/>
          <w:bottom w:val="single" w:sz="4" w:space="1" w:color="auto"/>
          <w:right w:val="single" w:sz="4" w:space="4" w:color="auto"/>
        </w:pBdr>
        <w:jc w:val="center"/>
        <w:rPr>
          <w:rFonts w:ascii="Marianne" w:hAnsi="Marianne" w:cs="Arial"/>
          <w:b/>
          <w:bCs/>
        </w:rPr>
      </w:pPr>
      <w:r>
        <w:rPr>
          <w:rFonts w:ascii="Marianne" w:hAnsi="Marianne" w:cs="Arial"/>
          <w:b/>
          <w:bCs/>
        </w:rPr>
        <w:t>Accord-cadre relatif à des services de communications mobiles et prestations associées</w:t>
      </w:r>
    </w:p>
    <w:p>
      <w:pPr>
        <w:pStyle w:val="Notedefin"/>
        <w:jc w:val="center"/>
        <w:rPr>
          <w:b/>
          <w:bCs/>
          <w:color w:val="auto"/>
          <w:sz w:val="28"/>
          <w:szCs w:val="28"/>
        </w:rPr>
      </w:pPr>
    </w:p>
    <w:p>
      <w:pPr>
        <w:pStyle w:val="Notedefin"/>
        <w:pBdr>
          <w:top w:val="single" w:sz="4" w:space="1" w:color="auto"/>
          <w:left w:val="single" w:sz="4" w:space="4" w:color="auto"/>
          <w:bottom w:val="single" w:sz="4" w:space="1" w:color="auto"/>
          <w:right w:val="single" w:sz="4" w:space="4" w:color="auto"/>
        </w:pBdr>
        <w:jc w:val="center"/>
        <w:rPr>
          <w:rFonts w:cs="Arial"/>
          <w:b/>
          <w:bCs/>
          <w:color w:val="auto"/>
          <w:sz w:val="28"/>
          <w:szCs w:val="28"/>
        </w:rPr>
      </w:pPr>
      <w:r>
        <w:rPr>
          <w:rFonts w:cs="Arial"/>
          <w:b/>
          <w:bCs/>
          <w:color w:val="auto"/>
          <w:sz w:val="28"/>
          <w:szCs w:val="28"/>
        </w:rPr>
        <w:t>ANNEXE N°5 ACTE D’ENGAGEMENT</w:t>
      </w:r>
      <w:r>
        <w:rPr>
          <w:rFonts w:cs="Arial"/>
          <w:b/>
          <w:bCs/>
          <w:color w:val="auto"/>
          <w:sz w:val="28"/>
          <w:szCs w:val="28"/>
        </w:rPr>
        <w:br/>
      </w:r>
    </w:p>
    <w:p>
      <w:pPr>
        <w:pStyle w:val="Notedefin"/>
        <w:pBdr>
          <w:top w:val="single" w:sz="4" w:space="1" w:color="auto"/>
          <w:left w:val="single" w:sz="4" w:space="4" w:color="auto"/>
          <w:bottom w:val="single" w:sz="4" w:space="1" w:color="auto"/>
          <w:right w:val="single" w:sz="4" w:space="4" w:color="auto"/>
        </w:pBdr>
        <w:jc w:val="center"/>
        <w:rPr>
          <w:rFonts w:cs="Arial"/>
          <w:b/>
          <w:bCs/>
          <w:color w:val="auto"/>
          <w:sz w:val="28"/>
          <w:szCs w:val="28"/>
        </w:rPr>
      </w:pPr>
    </w:p>
    <w:p>
      <w:pPr>
        <w:pStyle w:val="Notedefin"/>
        <w:pBdr>
          <w:top w:val="single" w:sz="4" w:space="1" w:color="auto"/>
          <w:left w:val="single" w:sz="4" w:space="4" w:color="auto"/>
          <w:bottom w:val="single" w:sz="4" w:space="1" w:color="auto"/>
          <w:right w:val="single" w:sz="4" w:space="4" w:color="auto"/>
        </w:pBdr>
        <w:jc w:val="center"/>
        <w:rPr>
          <w:rFonts w:cs="Arial"/>
          <w:color w:val="auto"/>
          <w:sz w:val="28"/>
          <w:szCs w:val="28"/>
        </w:rPr>
      </w:pPr>
      <w:r>
        <w:rPr>
          <w:rFonts w:cs="Arial"/>
          <w:b/>
          <w:bCs/>
          <w:color w:val="auto"/>
          <w:sz w:val="28"/>
          <w:szCs w:val="28"/>
        </w:rPr>
        <w:t>Questionnaire sur la localisation des centres d’hébergement de données et des opérations de support</w:t>
      </w:r>
    </w:p>
    <w:p>
      <w:pPr>
        <w:pStyle w:val="Notedefin"/>
        <w:jc w:val="center"/>
        <w:rPr>
          <w:color w:val="auto"/>
          <w:sz w:val="28"/>
          <w:szCs w:val="28"/>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rPr>
          <w:rFonts w:cs="Arial"/>
          <w:szCs w:val="20"/>
        </w:rPr>
      </w:pPr>
    </w:p>
    <w:p>
      <w:pPr>
        <w:rPr>
          <w:sz w:val="22"/>
        </w:rPr>
      </w:pPr>
      <w:r>
        <w:rPr>
          <w:sz w:val="22"/>
        </w:rPr>
        <w:t>Le titulaire doit, à la demande de l’acheteur ou du bénéficiaire (pour les prestations le concernant), pouvoir justifier de la localisation précise du stockage (zone géographique la plus fine disponible) et du traitement des données (transparence de la localisation des données).</w:t>
      </w:r>
    </w:p>
    <w:p>
      <w:pPr>
        <w:rPr>
          <w:sz w:val="22"/>
        </w:rPr>
      </w:pPr>
    </w:p>
    <w:p>
      <w:pPr>
        <w:rPr>
          <w:rFonts w:eastAsia="Arial" w:cstheme="minorHAnsi"/>
          <w:color w:val="000000"/>
          <w:sz w:val="22"/>
          <w:shd w:val="clear" w:color="auto" w:fill="FFFFFF"/>
        </w:rPr>
      </w:pPr>
      <w:r>
        <w:rPr>
          <w:rFonts w:eastAsia="Arial" w:cstheme="minorHAnsi"/>
          <w:color w:val="000000"/>
          <w:sz w:val="22"/>
          <w:shd w:val="clear" w:color="auto" w:fill="FFFFFF"/>
        </w:rPr>
        <w:t>Le candidat précise également si ses infrastructures (techniques ou organisationnelles) sont gérées ou simplement accessibles par une entité juridique appartenant à un pays disposant de lois autorisant ce pays à accéder aux données.</w:t>
      </w:r>
    </w:p>
    <w:p>
      <w:pPr>
        <w:rPr>
          <w:rFonts w:cs="Arial"/>
          <w:color w:val="auto"/>
          <w:szCs w:val="20"/>
        </w:rPr>
      </w:pPr>
    </w:p>
    <w:p>
      <w:pPr>
        <w:rPr>
          <w:rFonts w:cs="Arial"/>
          <w:color w:val="auto"/>
          <w:szCs w:val="20"/>
        </w:rPr>
      </w:pPr>
      <w:r>
        <w:rPr>
          <w:rFonts w:cs="Arial"/>
          <w:color w:val="auto"/>
          <w:sz w:val="22"/>
        </w:rPr>
        <w:t>Les éléments de réponse apportés doivent être clairs, fiables, transparents et documentés.</w:t>
      </w:r>
    </w:p>
    <w:p>
      <w:pPr>
        <w:rPr>
          <w:rFonts w:cs="Arial"/>
          <w:color w:val="auto"/>
          <w:szCs w:val="20"/>
        </w:rPr>
      </w:pPr>
    </w:p>
    <w:p>
      <w:pPr>
        <w:rPr>
          <w:rFonts w:cs="Arial"/>
          <w:color w:val="auto"/>
          <w:sz w:val="22"/>
        </w:rPr>
      </w:pPr>
      <w:r>
        <w:rPr>
          <w:rFonts w:cs="Arial"/>
          <w:color w:val="auto"/>
          <w:sz w:val="22"/>
        </w:rPr>
        <w:t xml:space="preserve">L'attention des soumissionnaires est attirée sur le </w:t>
      </w:r>
      <w:r>
        <w:rPr>
          <w:rFonts w:cs="Arial"/>
          <w:b/>
          <w:color w:val="auto"/>
          <w:sz w:val="22"/>
        </w:rPr>
        <w:t xml:space="preserve">caractère informatif des réponses </w:t>
      </w:r>
      <w:r>
        <w:rPr>
          <w:rFonts w:cs="Arial"/>
          <w:color w:val="auto"/>
          <w:sz w:val="22"/>
        </w:rPr>
        <w:t xml:space="preserve">mentionnées dans ce document. </w:t>
      </w:r>
    </w:p>
    <w:p>
      <w:pPr>
        <w:rPr>
          <w:rFonts w:cs="Arial"/>
          <w:color w:val="auto"/>
          <w:sz w:val="22"/>
        </w:rPr>
      </w:pPr>
    </w:p>
    <w:p>
      <w:pPr>
        <w:rPr>
          <w:rFonts w:cs="Arial"/>
          <w:color w:val="auto"/>
          <w:sz w:val="22"/>
        </w:rPr>
      </w:pPr>
      <w:r>
        <w:rPr>
          <w:rFonts w:cs="Arial"/>
          <w:color w:val="auto"/>
          <w:sz w:val="22"/>
        </w:rPr>
        <w:t>Si le renseignement du tableau n’est pas obligatoire pour les soumissionnaires,</w:t>
      </w:r>
      <w:r>
        <w:rPr>
          <w:rFonts w:cs="Arial"/>
          <w:b/>
          <w:color w:val="auto"/>
          <w:sz w:val="22"/>
        </w:rPr>
        <w:t xml:space="preserve"> en cas d’attribution du marché, le titulaire est tenu de renseigner le questionnaire et de le fournir à l’acheteur dans un délai de deux (2) mois suivant la notification du marché.</w:t>
      </w:r>
    </w:p>
    <w:p>
      <w:pPr>
        <w:jc w:val="left"/>
        <w:rPr>
          <w:rFonts w:cs="Arial"/>
          <w:color w:val="auto"/>
          <w:szCs w:val="20"/>
        </w:rPr>
      </w:pPr>
    </w:p>
    <w:p>
      <w:pPr>
        <w:rPr>
          <w:rFonts w:cs="Arial"/>
          <w:color w:val="auto"/>
          <w:sz w:val="22"/>
        </w:rPr>
      </w:pPr>
      <w:r>
        <w:rPr>
          <w:rFonts w:cs="Arial"/>
          <w:color w:val="auto"/>
          <w:sz w:val="22"/>
        </w:rPr>
        <w:t>Quand l’information n’est pas disponible, le candidat indique « non-maîtrisé » à la question concernée.</w:t>
      </w:r>
    </w:p>
    <w:tbl>
      <w:tblPr>
        <w:tblStyle w:val="Grilledutableau"/>
        <w:tblW w:w="9948" w:type="dxa"/>
        <w:tblInd w:w="-426" w:type="dxa"/>
        <w:tblLook w:val="04A0" w:firstRow="1" w:lastRow="0" w:firstColumn="1" w:lastColumn="0" w:noHBand="0" w:noVBand="1"/>
      </w:tblPr>
      <w:tblGrid>
        <w:gridCol w:w="4110"/>
        <w:gridCol w:w="864"/>
        <w:gridCol w:w="718"/>
        <w:gridCol w:w="2389"/>
        <w:gridCol w:w="1867"/>
      </w:tblGrid>
      <w:tr>
        <w:trPr>
          <w:trHeight w:val="490"/>
        </w:trPr>
        <w:tc>
          <w:tcPr>
            <w:tcW w:w="4974" w:type="dxa"/>
            <w:gridSpan w:val="2"/>
            <w:tcBorders>
              <w:top w:val="nil"/>
              <w:left w:val="nil"/>
              <w:bottom w:val="single" w:sz="4" w:space="0" w:color="auto"/>
              <w:right w:val="nil"/>
            </w:tcBorders>
          </w:tcPr>
          <w:p>
            <w:pPr>
              <w:rPr>
                <w:b/>
                <w:color w:val="auto"/>
                <w:szCs w:val="20"/>
              </w:rPr>
            </w:pPr>
          </w:p>
        </w:tc>
        <w:tc>
          <w:tcPr>
            <w:tcW w:w="4974" w:type="dxa"/>
            <w:gridSpan w:val="3"/>
            <w:tcBorders>
              <w:top w:val="nil"/>
              <w:left w:val="nil"/>
              <w:bottom w:val="single" w:sz="4" w:space="0" w:color="auto"/>
              <w:right w:val="nil"/>
            </w:tcBorders>
          </w:tcPr>
          <w:p>
            <w:pPr>
              <w:rPr>
                <w:color w:val="auto"/>
                <w:szCs w:val="20"/>
              </w:rPr>
            </w:pPr>
          </w:p>
        </w:tc>
      </w:tr>
      <w:tr>
        <w:trPr>
          <w:trHeight w:val="600"/>
        </w:trPr>
        <w:tc>
          <w:tcPr>
            <w:tcW w:w="9948" w:type="dxa"/>
            <w:gridSpan w:val="5"/>
            <w:tcBorders>
              <w:top w:val="single" w:sz="4" w:space="0" w:color="auto"/>
            </w:tcBorders>
            <w:noWrap/>
            <w:hideMark/>
          </w:tcPr>
          <w:p>
            <w:pPr>
              <w:jc w:val="center"/>
              <w:rPr>
                <w:rFonts w:cs="Arial"/>
                <w:b/>
                <w:bCs/>
                <w:color w:val="auto"/>
                <w:szCs w:val="20"/>
              </w:rPr>
            </w:pPr>
            <w:r>
              <w:rPr>
                <w:rFonts w:cs="Arial"/>
                <w:b/>
                <w:bCs/>
                <w:color w:val="auto"/>
                <w:szCs w:val="20"/>
              </w:rPr>
              <w:t>Localisation des centres d’hébergement de données et des opérations de support</w:t>
            </w:r>
          </w:p>
        </w:tc>
      </w:tr>
      <w:tr>
        <w:trPr>
          <w:trHeight w:val="600"/>
        </w:trPr>
        <w:tc>
          <w:tcPr>
            <w:tcW w:w="4110" w:type="dxa"/>
            <w:noWrap/>
          </w:tcPr>
          <w:p>
            <w:pPr>
              <w:rPr>
                <w:rFonts w:cs="Arial"/>
                <w:b/>
                <w:bCs/>
                <w:color w:val="auto"/>
                <w:szCs w:val="20"/>
              </w:rPr>
            </w:pPr>
          </w:p>
        </w:tc>
        <w:tc>
          <w:tcPr>
            <w:tcW w:w="1582" w:type="dxa"/>
            <w:gridSpan w:val="2"/>
          </w:tcPr>
          <w:p>
            <w:pPr>
              <w:jc w:val="center"/>
              <w:rPr>
                <w:rFonts w:cs="Arial"/>
                <w:b/>
                <w:bCs/>
                <w:color w:val="auto"/>
                <w:szCs w:val="20"/>
              </w:rPr>
            </w:pPr>
            <w:r>
              <w:rPr>
                <w:rFonts w:cs="Arial"/>
                <w:b/>
                <w:bCs/>
                <w:color w:val="auto"/>
                <w:szCs w:val="20"/>
              </w:rPr>
              <w:t>Type de réponse attendue</w:t>
            </w:r>
          </w:p>
        </w:tc>
        <w:tc>
          <w:tcPr>
            <w:tcW w:w="2389" w:type="dxa"/>
          </w:tcPr>
          <w:p>
            <w:pPr>
              <w:jc w:val="center"/>
              <w:rPr>
                <w:rFonts w:cs="Arial"/>
                <w:b/>
                <w:bCs/>
                <w:color w:val="auto"/>
                <w:szCs w:val="20"/>
              </w:rPr>
            </w:pPr>
            <w:r>
              <w:rPr>
                <w:rFonts w:cs="Arial"/>
                <w:b/>
                <w:bCs/>
                <w:color w:val="auto"/>
                <w:szCs w:val="20"/>
              </w:rPr>
              <w:t>Réponse du candidat</w:t>
            </w:r>
          </w:p>
          <w:p>
            <w:pPr>
              <w:jc w:val="center"/>
              <w:rPr>
                <w:rFonts w:cs="Arial"/>
                <w:b/>
                <w:bCs/>
                <w:color w:val="auto"/>
                <w:szCs w:val="20"/>
              </w:rPr>
            </w:pPr>
            <w:r>
              <w:rPr>
                <w:rFonts w:cs="Arial"/>
                <w:b/>
                <w:bCs/>
                <w:i/>
                <w:color w:val="auto"/>
                <w:szCs w:val="20"/>
              </w:rPr>
              <w:t>Si l’information n’est pas maîtrisée, merci de le préciser</w:t>
            </w:r>
          </w:p>
        </w:tc>
        <w:tc>
          <w:tcPr>
            <w:tcW w:w="1867" w:type="dxa"/>
          </w:tcPr>
          <w:p>
            <w:pPr>
              <w:jc w:val="center"/>
              <w:rPr>
                <w:rFonts w:cs="Arial"/>
                <w:b/>
                <w:bCs/>
                <w:color w:val="auto"/>
                <w:szCs w:val="20"/>
              </w:rPr>
            </w:pPr>
            <w:r>
              <w:rPr>
                <w:rFonts w:cs="Arial"/>
                <w:b/>
                <w:bCs/>
                <w:color w:val="auto"/>
                <w:szCs w:val="20"/>
              </w:rPr>
              <w:t>Moyen de preuve associé (Oui/Non</w:t>
            </w:r>
          </w:p>
          <w:p>
            <w:pPr>
              <w:jc w:val="center"/>
              <w:rPr>
                <w:rFonts w:cs="Arial"/>
                <w:b/>
                <w:bCs/>
                <w:color w:val="auto"/>
                <w:szCs w:val="20"/>
              </w:rPr>
            </w:pPr>
            <w:r>
              <w:rPr>
                <w:rFonts w:cs="Arial"/>
                <w:b/>
                <w:bCs/>
                <w:color w:val="auto"/>
                <w:szCs w:val="20"/>
              </w:rPr>
              <w:t>Si oui préciser)</w:t>
            </w:r>
          </w:p>
        </w:tc>
      </w:tr>
      <w:tr>
        <w:trPr>
          <w:trHeight w:val="1500"/>
        </w:trPr>
        <w:tc>
          <w:tcPr>
            <w:tcW w:w="4110" w:type="dxa"/>
            <w:hideMark/>
          </w:tcPr>
          <w:p>
            <w:pPr>
              <w:jc w:val="left"/>
              <w:rPr>
                <w:rFonts w:cs="Arial"/>
                <w:color w:val="auto"/>
                <w:szCs w:val="20"/>
              </w:rPr>
            </w:pPr>
            <w:r>
              <w:rPr>
                <w:rFonts w:cs="Arial"/>
                <w:color w:val="auto"/>
                <w:szCs w:val="20"/>
              </w:rPr>
              <w:t xml:space="preserve">Le candidat peut-il garantir que les données relatives au présent marché sont stockées et traitées au sein de l’Espace économique européen (EEE) ? </w:t>
            </w:r>
          </w:p>
          <w:p>
            <w:pPr>
              <w:jc w:val="left"/>
              <w:rPr>
                <w:rFonts w:cs="Arial"/>
                <w:color w:val="auto"/>
                <w:szCs w:val="20"/>
              </w:rPr>
            </w:pPr>
          </w:p>
          <w:p>
            <w:pPr>
              <w:jc w:val="left"/>
              <w:rPr>
                <w:rFonts w:cs="Arial"/>
                <w:color w:val="auto"/>
                <w:szCs w:val="20"/>
              </w:rPr>
            </w:pPr>
            <w:r>
              <w:rPr>
                <w:rFonts w:cs="Arial"/>
                <w:color w:val="auto"/>
                <w:szCs w:val="20"/>
              </w:rPr>
              <w:t>Si non, quelle solution le candidat prévoit-il d’adopter ?</w:t>
            </w:r>
          </w:p>
          <w:p>
            <w:pPr>
              <w:jc w:val="left"/>
              <w:rPr>
                <w:rFonts w:cs="Arial"/>
                <w:color w:val="auto"/>
                <w:szCs w:val="20"/>
              </w:rPr>
            </w:pPr>
          </w:p>
        </w:tc>
        <w:tc>
          <w:tcPr>
            <w:tcW w:w="1582" w:type="dxa"/>
            <w:gridSpan w:val="2"/>
            <w:hideMark/>
          </w:tcPr>
          <w:p>
            <w:pPr>
              <w:jc w:val="left"/>
              <w:rPr>
                <w:rFonts w:cs="Arial"/>
                <w:color w:val="auto"/>
                <w:szCs w:val="20"/>
              </w:rPr>
            </w:pPr>
            <w:r>
              <w:rPr>
                <w:rFonts w:cs="Arial"/>
                <w:color w:val="auto"/>
                <w:szCs w:val="20"/>
              </w:rPr>
              <w:t>Oui (fournir le justificatif) / Non</w:t>
            </w:r>
          </w:p>
        </w:tc>
        <w:tc>
          <w:tcPr>
            <w:tcW w:w="2389" w:type="dxa"/>
            <w:hideMark/>
          </w:tcPr>
          <w:p>
            <w:pPr>
              <w:jc w:val="left"/>
              <w:rPr>
                <w:rFonts w:cs="Arial"/>
                <w:szCs w:val="20"/>
              </w:rPr>
            </w:pPr>
            <w:r>
              <w:rPr>
                <w:rFonts w:cs="Arial"/>
                <w:szCs w:val="20"/>
              </w:rPr>
              <w:t> </w:t>
            </w:r>
          </w:p>
        </w:tc>
        <w:tc>
          <w:tcPr>
            <w:tcW w:w="1867" w:type="dxa"/>
            <w:noWrap/>
            <w:hideMark/>
          </w:tcPr>
          <w:p>
            <w:pPr>
              <w:jc w:val="left"/>
              <w:rPr>
                <w:rFonts w:cs="Arial"/>
                <w:b/>
                <w:bCs/>
                <w:szCs w:val="20"/>
              </w:rPr>
            </w:pPr>
            <w:r>
              <w:rPr>
                <w:rFonts w:cs="Arial"/>
                <w:b/>
                <w:bCs/>
                <w:szCs w:val="20"/>
              </w:rPr>
              <w:t> </w:t>
            </w:r>
          </w:p>
        </w:tc>
      </w:tr>
      <w:tr>
        <w:trPr>
          <w:trHeight w:val="1800"/>
        </w:trPr>
        <w:tc>
          <w:tcPr>
            <w:tcW w:w="4110" w:type="dxa"/>
            <w:hideMark/>
          </w:tcPr>
          <w:p>
            <w:pPr>
              <w:jc w:val="left"/>
              <w:rPr>
                <w:rFonts w:cs="Arial"/>
                <w:color w:val="auto"/>
                <w:szCs w:val="20"/>
              </w:rPr>
            </w:pPr>
          </w:p>
          <w:p>
            <w:pPr>
              <w:jc w:val="left"/>
              <w:rPr>
                <w:rFonts w:cs="Arial"/>
                <w:color w:val="auto"/>
                <w:szCs w:val="20"/>
              </w:rPr>
            </w:pPr>
          </w:p>
          <w:p>
            <w:pPr>
              <w:jc w:val="left"/>
              <w:rPr>
                <w:rFonts w:cs="Arial"/>
                <w:color w:val="auto"/>
                <w:szCs w:val="20"/>
              </w:rPr>
            </w:pPr>
            <w:r>
              <w:rPr>
                <w:rFonts w:cs="Arial"/>
                <w:color w:val="auto"/>
                <w:szCs w:val="20"/>
              </w:rPr>
              <w:t xml:space="preserve">Lieux géographiques des sites d’hébergement des données </w:t>
            </w:r>
          </w:p>
          <w:p>
            <w:pPr>
              <w:jc w:val="left"/>
              <w:rPr>
                <w:rFonts w:cs="Arial"/>
                <w:color w:val="auto"/>
                <w:szCs w:val="20"/>
              </w:rPr>
            </w:pPr>
          </w:p>
          <w:p>
            <w:pPr>
              <w:jc w:val="left"/>
              <w:rPr>
                <w:rFonts w:cs="Arial"/>
                <w:i/>
                <w:iCs/>
                <w:color w:val="auto"/>
                <w:szCs w:val="20"/>
              </w:rPr>
            </w:pPr>
            <w:r>
              <w:rPr>
                <w:rFonts w:cs="Arial"/>
                <w:i/>
                <w:iCs/>
                <w:color w:val="auto"/>
                <w:szCs w:val="20"/>
              </w:rPr>
              <w:t>Si plusieurs sites, en préciser le nombre et les différentes implantations géographiques</w:t>
            </w:r>
          </w:p>
          <w:p>
            <w:pPr>
              <w:jc w:val="left"/>
              <w:rPr>
                <w:rFonts w:cs="Arial"/>
                <w:color w:val="auto"/>
                <w:szCs w:val="20"/>
              </w:rPr>
            </w:pPr>
          </w:p>
          <w:p>
            <w:pPr>
              <w:jc w:val="left"/>
              <w:rPr>
                <w:rFonts w:cs="Arial"/>
                <w:color w:val="auto"/>
                <w:szCs w:val="20"/>
              </w:rPr>
            </w:pPr>
          </w:p>
        </w:tc>
        <w:tc>
          <w:tcPr>
            <w:tcW w:w="1582" w:type="dxa"/>
            <w:gridSpan w:val="2"/>
          </w:tcPr>
          <w:p>
            <w:pPr>
              <w:jc w:val="left"/>
              <w:rPr>
                <w:rFonts w:cs="Arial"/>
                <w:color w:val="auto"/>
                <w:szCs w:val="20"/>
              </w:rPr>
            </w:pPr>
            <w:r>
              <w:rPr>
                <w:rFonts w:cs="Arial"/>
                <w:color w:val="auto"/>
                <w:szCs w:val="20"/>
              </w:rPr>
              <w:t>Lister</w:t>
            </w:r>
          </w:p>
        </w:tc>
        <w:tc>
          <w:tcPr>
            <w:tcW w:w="2389" w:type="dxa"/>
            <w:hideMark/>
          </w:tcPr>
          <w:p>
            <w:pPr>
              <w:jc w:val="left"/>
              <w:rPr>
                <w:rFonts w:cs="Arial"/>
                <w:szCs w:val="20"/>
              </w:rPr>
            </w:pPr>
            <w:r>
              <w:rPr>
                <w:rFonts w:cs="Arial"/>
                <w:szCs w:val="20"/>
              </w:rPr>
              <w:t> </w:t>
            </w:r>
          </w:p>
        </w:tc>
        <w:tc>
          <w:tcPr>
            <w:tcW w:w="1867" w:type="dxa"/>
            <w:noWrap/>
            <w:hideMark/>
          </w:tcPr>
          <w:p>
            <w:pPr>
              <w:jc w:val="left"/>
              <w:rPr>
                <w:rFonts w:cs="Arial"/>
                <w:b/>
                <w:bCs/>
                <w:szCs w:val="20"/>
              </w:rPr>
            </w:pPr>
            <w:r>
              <w:rPr>
                <w:rFonts w:cs="Arial"/>
                <w:b/>
                <w:bCs/>
                <w:szCs w:val="20"/>
              </w:rPr>
              <w:t> </w:t>
            </w:r>
          </w:p>
        </w:tc>
      </w:tr>
      <w:tr>
        <w:trPr>
          <w:trHeight w:val="1800"/>
        </w:trPr>
        <w:tc>
          <w:tcPr>
            <w:tcW w:w="4110" w:type="dxa"/>
          </w:tcPr>
          <w:p>
            <w:pPr>
              <w:jc w:val="left"/>
              <w:rPr>
                <w:rFonts w:cs="Arial"/>
                <w:color w:val="auto"/>
                <w:szCs w:val="20"/>
              </w:rPr>
            </w:pPr>
            <w:r>
              <w:rPr>
                <w:rFonts w:cs="Arial"/>
                <w:color w:val="auto"/>
                <w:szCs w:val="20"/>
              </w:rPr>
              <w:t xml:space="preserve">Le candidat peut-il garantir que les </w:t>
            </w:r>
            <w:r>
              <w:rPr>
                <w:szCs w:val="20"/>
              </w:rPr>
              <w:t xml:space="preserve">opérations </w:t>
            </w:r>
            <w:r>
              <w:rPr>
                <w:color w:val="auto"/>
                <w:szCs w:val="20"/>
              </w:rPr>
              <w:t>d’administration, de supervision et de support des prestations ont lieu dans l’Espace économique européen ?</w:t>
            </w:r>
          </w:p>
        </w:tc>
        <w:tc>
          <w:tcPr>
            <w:tcW w:w="1582" w:type="dxa"/>
            <w:gridSpan w:val="2"/>
          </w:tcPr>
          <w:p>
            <w:pPr>
              <w:jc w:val="left"/>
              <w:rPr>
                <w:rFonts w:cs="Arial"/>
                <w:color w:val="auto"/>
                <w:szCs w:val="20"/>
              </w:rPr>
            </w:pPr>
            <w:r>
              <w:rPr>
                <w:rFonts w:cs="Arial"/>
                <w:color w:val="auto"/>
                <w:szCs w:val="20"/>
              </w:rPr>
              <w:t>Oui (fournir le justificatif) / Non</w:t>
            </w:r>
          </w:p>
        </w:tc>
        <w:tc>
          <w:tcPr>
            <w:tcW w:w="2389" w:type="dxa"/>
          </w:tcPr>
          <w:p>
            <w:pPr>
              <w:jc w:val="left"/>
              <w:rPr>
                <w:rFonts w:cs="Arial"/>
                <w:szCs w:val="20"/>
              </w:rPr>
            </w:pPr>
          </w:p>
        </w:tc>
        <w:tc>
          <w:tcPr>
            <w:tcW w:w="1867" w:type="dxa"/>
            <w:noWrap/>
          </w:tcPr>
          <w:p>
            <w:pPr>
              <w:jc w:val="left"/>
              <w:rPr>
                <w:rFonts w:cs="Arial"/>
                <w:b/>
                <w:bCs/>
                <w:szCs w:val="20"/>
              </w:rPr>
            </w:pPr>
          </w:p>
        </w:tc>
      </w:tr>
      <w:tr>
        <w:trPr>
          <w:trHeight w:val="1800"/>
        </w:trPr>
        <w:tc>
          <w:tcPr>
            <w:tcW w:w="4110" w:type="dxa"/>
          </w:tcPr>
          <w:p>
            <w:pPr>
              <w:rPr>
                <w:rFonts w:cs="Arial"/>
                <w:color w:val="auto"/>
                <w:szCs w:val="20"/>
              </w:rPr>
            </w:pPr>
            <w:r>
              <w:rPr>
                <w:rFonts w:cs="Arial"/>
                <w:color w:val="auto"/>
                <w:szCs w:val="20"/>
              </w:rPr>
              <w:lastRenderedPageBreak/>
              <w:t>Lieux géographiques d’exécution des opérations de support</w:t>
            </w:r>
          </w:p>
        </w:tc>
        <w:tc>
          <w:tcPr>
            <w:tcW w:w="1582" w:type="dxa"/>
            <w:gridSpan w:val="2"/>
          </w:tcPr>
          <w:p>
            <w:pPr>
              <w:jc w:val="left"/>
              <w:rPr>
                <w:rFonts w:cs="Arial"/>
                <w:color w:val="auto"/>
                <w:szCs w:val="20"/>
              </w:rPr>
            </w:pPr>
            <w:r>
              <w:rPr>
                <w:rFonts w:cs="Arial"/>
                <w:color w:val="auto"/>
                <w:szCs w:val="20"/>
              </w:rPr>
              <w:t>Lister la localisation des sites et les opérations effectuées dans le cadre du marché</w:t>
            </w:r>
          </w:p>
        </w:tc>
        <w:tc>
          <w:tcPr>
            <w:tcW w:w="2389" w:type="dxa"/>
          </w:tcPr>
          <w:p>
            <w:pPr>
              <w:jc w:val="left"/>
              <w:rPr>
                <w:rFonts w:cs="Arial"/>
                <w:szCs w:val="20"/>
              </w:rPr>
            </w:pPr>
          </w:p>
        </w:tc>
        <w:tc>
          <w:tcPr>
            <w:tcW w:w="1867" w:type="dxa"/>
            <w:noWrap/>
          </w:tcPr>
          <w:p>
            <w:pPr>
              <w:jc w:val="left"/>
              <w:rPr>
                <w:rFonts w:cs="Arial"/>
                <w:b/>
                <w:bCs/>
                <w:szCs w:val="20"/>
              </w:rPr>
            </w:pPr>
          </w:p>
        </w:tc>
      </w:tr>
      <w:tr>
        <w:trPr>
          <w:trHeight w:val="1800"/>
        </w:trPr>
        <w:tc>
          <w:tcPr>
            <w:tcW w:w="4110" w:type="dxa"/>
          </w:tcPr>
          <w:p>
            <w:pPr>
              <w:rPr>
                <w:rFonts w:cs="Arial"/>
                <w:color w:val="auto"/>
                <w:szCs w:val="20"/>
              </w:rPr>
            </w:pPr>
            <w:r>
              <w:rPr>
                <w:rFonts w:cs="Arial"/>
                <w:color w:val="auto"/>
                <w:szCs w:val="20"/>
              </w:rPr>
              <w:t>Mécanismes permettant de s’assurer du contrôle d’accès et de la supervision des opérations qui sont menées en dehors de l’Espace économique européen le cas échéant.</w:t>
            </w:r>
          </w:p>
        </w:tc>
        <w:tc>
          <w:tcPr>
            <w:tcW w:w="1582" w:type="dxa"/>
            <w:gridSpan w:val="2"/>
          </w:tcPr>
          <w:p>
            <w:pPr>
              <w:jc w:val="left"/>
              <w:rPr>
                <w:rFonts w:cs="Arial"/>
                <w:color w:val="auto"/>
                <w:szCs w:val="20"/>
              </w:rPr>
            </w:pPr>
            <w:r>
              <w:rPr>
                <w:rFonts w:cs="Arial"/>
                <w:color w:val="auto"/>
                <w:szCs w:val="20"/>
              </w:rPr>
              <w:t>Lister</w:t>
            </w:r>
          </w:p>
        </w:tc>
        <w:tc>
          <w:tcPr>
            <w:tcW w:w="2389" w:type="dxa"/>
          </w:tcPr>
          <w:p>
            <w:pPr>
              <w:jc w:val="left"/>
              <w:rPr>
                <w:rFonts w:cs="Arial"/>
                <w:szCs w:val="20"/>
              </w:rPr>
            </w:pPr>
          </w:p>
        </w:tc>
        <w:tc>
          <w:tcPr>
            <w:tcW w:w="1867" w:type="dxa"/>
            <w:noWrap/>
          </w:tcPr>
          <w:p>
            <w:pPr>
              <w:jc w:val="left"/>
              <w:rPr>
                <w:rFonts w:cs="Arial"/>
                <w:b/>
                <w:bCs/>
                <w:szCs w:val="20"/>
              </w:rPr>
            </w:pPr>
          </w:p>
        </w:tc>
      </w:tr>
      <w:tr>
        <w:trPr>
          <w:trHeight w:val="1800"/>
        </w:trPr>
        <w:tc>
          <w:tcPr>
            <w:tcW w:w="4110" w:type="dxa"/>
          </w:tcPr>
          <w:p>
            <w:pPr>
              <w:rPr>
                <w:rFonts w:eastAsia="Arial" w:cstheme="minorHAnsi"/>
                <w:color w:val="000000"/>
                <w:szCs w:val="20"/>
                <w:shd w:val="clear" w:color="auto" w:fill="FFFFFF"/>
              </w:rPr>
            </w:pPr>
            <w:r>
              <w:rPr>
                <w:rFonts w:eastAsia="Arial" w:cstheme="minorHAnsi"/>
                <w:color w:val="000000"/>
                <w:szCs w:val="20"/>
                <w:shd w:val="clear" w:color="auto" w:fill="FFFFFF"/>
              </w:rPr>
              <w:t>Les infrastructures (techniques ou organisationnelles) sont gérées ou simplement accessibles par une entité juridique appartenant à un pays disposant de lois autorisant ce pays à accéder aux données.</w:t>
            </w:r>
          </w:p>
          <w:p>
            <w:pPr>
              <w:rPr>
                <w:rFonts w:cs="Arial"/>
                <w:color w:val="auto"/>
                <w:szCs w:val="20"/>
              </w:rPr>
            </w:pPr>
          </w:p>
        </w:tc>
        <w:tc>
          <w:tcPr>
            <w:tcW w:w="1582" w:type="dxa"/>
            <w:gridSpan w:val="2"/>
          </w:tcPr>
          <w:p>
            <w:pPr>
              <w:jc w:val="left"/>
              <w:rPr>
                <w:rFonts w:cs="Arial"/>
                <w:color w:val="auto"/>
                <w:szCs w:val="20"/>
              </w:rPr>
            </w:pPr>
            <w:r>
              <w:rPr>
                <w:rFonts w:cs="Arial"/>
                <w:color w:val="auto"/>
                <w:szCs w:val="20"/>
              </w:rPr>
              <w:t>Oui / Non</w:t>
            </w:r>
          </w:p>
        </w:tc>
        <w:tc>
          <w:tcPr>
            <w:tcW w:w="2389" w:type="dxa"/>
          </w:tcPr>
          <w:p>
            <w:pPr>
              <w:jc w:val="left"/>
              <w:rPr>
                <w:rFonts w:cs="Arial"/>
                <w:szCs w:val="20"/>
              </w:rPr>
            </w:pPr>
          </w:p>
        </w:tc>
        <w:tc>
          <w:tcPr>
            <w:tcW w:w="1867" w:type="dxa"/>
            <w:noWrap/>
          </w:tcPr>
          <w:p>
            <w:pPr>
              <w:jc w:val="left"/>
              <w:rPr>
                <w:rFonts w:cs="Arial"/>
                <w:b/>
                <w:bCs/>
                <w:szCs w:val="20"/>
              </w:rPr>
            </w:pPr>
          </w:p>
        </w:tc>
      </w:tr>
    </w:tbl>
    <w:p>
      <w:pPr>
        <w:rPr>
          <w:rFonts w:cs="Arial"/>
          <w:szCs w:val="20"/>
        </w:rPr>
      </w:pPr>
    </w:p>
    <w:sectPr>
      <w:footerReference w:type="default" r:id="rId8"/>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rPr>
        <w:rFonts w:ascii="Arial" w:hAnsi="Arial" w:cs="Arial"/>
        <w:noProof/>
      </w:rPr>
      <w:fldChar w:fldCharType="begin"/>
    </w:r>
    <w:r>
      <w:rPr>
        <w:rFonts w:ascii="Arial" w:hAnsi="Arial" w:cs="Arial"/>
        <w:noProof/>
      </w:rPr>
      <w:instrText xml:space="preserve"> FILENAME   \* MERGEFORMAT </w:instrText>
    </w:r>
    <w:r>
      <w:rPr>
        <w:rFonts w:ascii="Arial" w:hAnsi="Arial" w:cs="Arial"/>
        <w:noProof/>
      </w:rPr>
      <w:fldChar w:fldCharType="separate"/>
    </w:r>
    <w:r>
      <w:rPr>
        <w:rFonts w:ascii="Arial" w:hAnsi="Arial" w:cs="Arial"/>
        <w:noProof/>
      </w:rPr>
      <w:t>Dae_Mobile 2026_AE_Annexe5_Questionnaire_localisation_données</w:t>
    </w:r>
    <w:r>
      <w:rPr>
        <w:rFonts w:ascii="Arial" w:hAnsi="Arial" w:cs="Arial"/>
        <w:noProof/>
      </w:rPr>
      <w:fldChar w:fldCharType="end"/>
    </w:r>
    <w:r>
      <w:rPr>
        <w:rFonts w:ascii="Arial" w:hAnsi="Arial" w:cs="Arial"/>
      </w:rPr>
      <w:ptab w:relativeTo="margin" w:alignment="right" w:leader="none"/>
    </w:r>
    <w:r>
      <w:rPr>
        <w:rFonts w:ascii="Arial" w:hAnsi="Arial" w:cs="Arial"/>
      </w:rPr>
      <w:fldChar w:fldCharType="begin"/>
    </w:r>
    <w:r>
      <w:rPr>
        <w:rFonts w:ascii="Arial" w:hAnsi="Arial" w:cs="Arial"/>
      </w:rPr>
      <w:instrText xml:space="preserve"> PAGE  \* Arabic  \* MERGEFORMAT </w:instrText>
    </w:r>
    <w:r>
      <w:rPr>
        <w:rFonts w:ascii="Arial" w:hAnsi="Arial" w:cs="Arial"/>
      </w:rPr>
      <w:fldChar w:fldCharType="separate"/>
    </w:r>
    <w:r>
      <w:rPr>
        <w:rFonts w:ascii="Arial" w:hAnsi="Arial" w:cs="Arial"/>
        <w:noProof/>
      </w:rPr>
      <w:t>3</w:t>
    </w:r>
    <w:r>
      <w:rPr>
        <w:rFonts w:ascii="Arial" w:hAnsi="Arial" w:cs="Arial"/>
      </w:rPr>
      <w:fldChar w:fldCharType="end"/>
    </w:r>
    <w:r>
      <w:rPr>
        <w:rFonts w:ascii="Arial" w:hAnsi="Arial" w:cs="Arial"/>
      </w:rPr>
      <w:t>/</w:t>
    </w:r>
    <w:r>
      <w:rPr>
        <w:rFonts w:ascii="Arial" w:hAnsi="Arial" w:cs="Arial"/>
        <w:noProof/>
      </w:rPr>
      <w:fldChar w:fldCharType="begin"/>
    </w:r>
    <w:r>
      <w:rPr>
        <w:rFonts w:ascii="Arial" w:hAnsi="Arial" w:cs="Arial"/>
        <w:noProof/>
      </w:rPr>
      <w:instrText xml:space="preserve"> NUMPAGES  \* Arabic  \* MERGEFORMAT </w:instrText>
    </w:r>
    <w:r>
      <w:rPr>
        <w:rFonts w:ascii="Arial" w:hAnsi="Arial" w:cs="Arial"/>
        <w:noProof/>
      </w:rPr>
      <w:fldChar w:fldCharType="separate"/>
    </w:r>
    <w:r>
      <w:rPr>
        <w:rFonts w:ascii="Arial" w:hAnsi="Arial" w:cs="Arial"/>
        <w:noProof/>
      </w:rPr>
      <w:t>5</w:t>
    </w:r>
    <w:r>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93333"/>
    <w:multiLevelType w:val="hybridMultilevel"/>
    <w:tmpl w:val="9D4626B0"/>
    <w:lvl w:ilvl="0" w:tplc="80F6DF28">
      <w:start w:val="20"/>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90906A3"/>
    <w:multiLevelType w:val="hybridMultilevel"/>
    <w:tmpl w:val="9468D7A2"/>
    <w:lvl w:ilvl="0" w:tplc="A3128B1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A372E7B"/>
    <w:multiLevelType w:val="hybridMultilevel"/>
    <w:tmpl w:val="CF2C50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AC571AA"/>
    <w:multiLevelType w:val="hybridMultilevel"/>
    <w:tmpl w:val="88C8CE1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CE21D2D"/>
    <w:multiLevelType w:val="hybridMultilevel"/>
    <w:tmpl w:val="1ADCEA0C"/>
    <w:lvl w:ilvl="0" w:tplc="7BDADAA2">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23B296-CF44-4732-B111-B772C2D10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0" w:line="240" w:lineRule="auto"/>
      <w:contextualSpacing/>
      <w:jc w:val="both"/>
    </w:pPr>
    <w:rPr>
      <w:rFonts w:ascii="Marianne" w:hAnsi="Marianne"/>
      <w:color w:val="222A35" w:themeColor="text2" w:themeShade="8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uiPriority w:val="99"/>
    <w:unhideWhenUsed/>
    <w:rPr>
      <w:szCs w:val="20"/>
    </w:rPr>
  </w:style>
  <w:style w:type="character" w:customStyle="1" w:styleId="NotedefinCar">
    <w:name w:val="Note de fin Car"/>
    <w:basedOn w:val="Policepardfaut"/>
    <w:link w:val="Notedefin"/>
    <w:uiPriority w:val="99"/>
    <w:rPr>
      <w:rFonts w:ascii="Marianne" w:hAnsi="Marianne"/>
      <w:color w:val="222A35" w:themeColor="text2" w:themeShade="80"/>
      <w:sz w:val="20"/>
      <w:szCs w:val="20"/>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Cs w:val="20"/>
    </w:rPr>
  </w:style>
  <w:style w:type="character" w:customStyle="1" w:styleId="CommentaireCar">
    <w:name w:val="Commentaire Car"/>
    <w:basedOn w:val="Policepardfaut"/>
    <w:link w:val="Commentaire"/>
    <w:uiPriority w:val="99"/>
    <w:semiHidden/>
    <w:rPr>
      <w:rFonts w:ascii="Marianne" w:hAnsi="Marianne"/>
      <w:color w:val="222A35" w:themeColor="text2" w:themeShade="80"/>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Marianne" w:hAnsi="Marianne"/>
      <w:b/>
      <w:bCs/>
      <w:color w:val="222A35" w:themeColor="text2" w:themeShade="80"/>
      <w:sz w:val="20"/>
      <w:szCs w:val="20"/>
    </w:rPr>
  </w:style>
  <w:style w:type="paragraph" w:styleId="Textedebulles">
    <w:name w:val="Balloon Text"/>
    <w:basedOn w:val="Normal"/>
    <w:link w:val="TextedebullesCar"/>
    <w:uiPriority w:val="99"/>
    <w:semiHidden/>
    <w:unhideWhenUsed/>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color w:val="222A35" w:themeColor="text2" w:themeShade="80"/>
      <w:sz w:val="18"/>
      <w:szCs w:val="18"/>
    </w:rPr>
  </w:style>
  <w:style w:type="paragraph" w:styleId="En-tte">
    <w:name w:val="header"/>
    <w:basedOn w:val="Normal"/>
    <w:link w:val="En-tteCar"/>
    <w:uiPriority w:val="99"/>
    <w:unhideWhenUsed/>
    <w:pPr>
      <w:tabs>
        <w:tab w:val="center" w:pos="4536"/>
        <w:tab w:val="right" w:pos="9072"/>
      </w:tabs>
      <w:spacing w:after="0"/>
    </w:pPr>
  </w:style>
  <w:style w:type="character" w:customStyle="1" w:styleId="En-tteCar">
    <w:name w:val="En-tête Car"/>
    <w:basedOn w:val="Policepardfaut"/>
    <w:link w:val="En-tte"/>
    <w:uiPriority w:val="99"/>
    <w:rPr>
      <w:rFonts w:ascii="Marianne" w:hAnsi="Marianne"/>
      <w:color w:val="222A35" w:themeColor="text2" w:themeShade="80"/>
      <w:sz w:val="20"/>
    </w:rPr>
  </w:style>
  <w:style w:type="paragraph" w:styleId="Pieddepage">
    <w:name w:val="footer"/>
    <w:basedOn w:val="Normal"/>
    <w:link w:val="PieddepageCar"/>
    <w:uiPriority w:val="99"/>
    <w:unhideWhenUsed/>
    <w:pPr>
      <w:tabs>
        <w:tab w:val="center" w:pos="4536"/>
        <w:tab w:val="right" w:pos="9072"/>
      </w:tabs>
      <w:spacing w:after="0"/>
    </w:pPr>
  </w:style>
  <w:style w:type="character" w:customStyle="1" w:styleId="PieddepageCar">
    <w:name w:val="Pied de page Car"/>
    <w:basedOn w:val="Policepardfaut"/>
    <w:link w:val="Pieddepage"/>
    <w:uiPriority w:val="99"/>
    <w:rPr>
      <w:rFonts w:ascii="Marianne" w:hAnsi="Marianne"/>
      <w:color w:val="222A35" w:themeColor="text2" w:themeShade="80"/>
      <w:sz w:val="20"/>
    </w:rPr>
  </w:style>
  <w:style w:type="paragraph" w:customStyle="1" w:styleId="Standard">
    <w:name w:val="Standar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4"/>
      <w:szCs w:val="24"/>
      <w:lang w:eastAsia="zh-CN"/>
    </w:rPr>
  </w:style>
  <w:style w:type="paragraph" w:styleId="Corpsdetexte">
    <w:name w:val="Body Text"/>
    <w:basedOn w:val="Normal"/>
    <w:link w:val="CorpsdetexteCar"/>
    <w:pPr>
      <w:widowControl w:val="0"/>
      <w:suppressAutoHyphens/>
      <w:spacing w:after="120"/>
      <w:contextualSpacing w:val="0"/>
      <w:jc w:val="left"/>
    </w:pPr>
    <w:rPr>
      <w:rFonts w:ascii="Liberation Sans" w:eastAsia="SimSun" w:hAnsi="Liberation Sans" w:cs="Mangal"/>
      <w:color w:val="auto"/>
      <w:kern w:val="1"/>
      <w:szCs w:val="24"/>
      <w:lang w:eastAsia="zh-CN" w:bidi="hi-IN"/>
    </w:rPr>
  </w:style>
  <w:style w:type="character" w:customStyle="1" w:styleId="CorpsdetexteCar">
    <w:name w:val="Corps de texte Car"/>
    <w:basedOn w:val="Policepardfaut"/>
    <w:link w:val="Corpsdetexte"/>
    <w:rPr>
      <w:rFonts w:ascii="Liberation Sans" w:eastAsia="SimSun" w:hAnsi="Liberation Sans" w:cs="Mangal"/>
      <w:kern w:val="1"/>
      <w:sz w:val="20"/>
      <w:szCs w:val="24"/>
      <w:lang w:eastAsia="zh-CN" w:bidi="hi-IN"/>
    </w:rPr>
  </w:style>
  <w:style w:type="character" w:styleId="Lienhypertexte">
    <w:name w:val="Hyperlink"/>
    <w:basedOn w:val="Policepardfaut"/>
    <w:uiPriority w:val="99"/>
    <w:unhideWhenUsed/>
    <w:rPr>
      <w:color w:val="0563C1" w:themeColor="hyperlink"/>
      <w:u w:val="single"/>
    </w:rPr>
  </w:style>
  <w:style w:type="character" w:styleId="Lienhypertextesuivivisit">
    <w:name w:val="FollowedHyperlink"/>
    <w:basedOn w:val="Policepardfaut"/>
    <w:uiPriority w:val="99"/>
    <w:semiHidden/>
    <w:unhideWhenUsed/>
    <w:rPr>
      <w:color w:val="954F72" w:themeColor="followedHyperlink"/>
      <w:u w:val="single"/>
    </w:rPr>
  </w:style>
  <w:style w:type="paragraph" w:styleId="Sansinterligne">
    <w:name w:val="No Spacing"/>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ind w:left="7" w:right="4" w:hanging="7"/>
      <w:jc w:val="both"/>
    </w:pPr>
    <w:rPr>
      <w:rFonts w:ascii="Arial" w:eastAsia="Arial" w:hAnsi="Arial" w:cs="Arial"/>
      <w:color w:val="000000"/>
      <w:sz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3</Pages>
  <Words>425</Words>
  <Characters>2342</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Secrétariat Général</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KESSOUS Malika</dc:creator>
  <cp:keywords/>
  <dc:description/>
  <cp:lastModifiedBy>CERRAJERO Hugo</cp:lastModifiedBy>
  <cp:revision>30</cp:revision>
  <dcterms:created xsi:type="dcterms:W3CDTF">2023-09-26T16:25:00Z</dcterms:created>
  <dcterms:modified xsi:type="dcterms:W3CDTF">2026-07-22T13:32:00Z</dcterms:modified>
</cp:coreProperties>
</file>